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767" cy="3722350"/>
                    </a:xfrm>
                    <a:prstGeom prst="rect">
                      <a:avLst/>
                    </a:prstGeom>
                    <a:noFill/>
                    <a:ln>
                      <a:noFill/>
                    </a:ln>
                  </pic:spPr>
                </pic:pic>
              </a:graphicData>
            </a:graphic>
          </wp:inline>
        </w:drawing>
      </w:r>
      <w:r w:rsidRPr="005C79F3">
        <w:rPr>
          <w:rFonts w:ascii="Times New Roman" w:hAnsi="Times New Roman" w:cs="Times New Roman"/>
          <w:b/>
          <w:sz w:val="36"/>
          <w:szCs w:val="36"/>
        </w:rPr>
        <w:t xml:space="preserve"> </w:t>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r w:rsidRPr="005C79F3">
        <w:rPr>
          <w:rFonts w:ascii="Times New Roman" w:hAnsi="Times New Roman" w:cs="Times New Roman"/>
          <w:b/>
          <w:sz w:val="36"/>
          <w:szCs w:val="36"/>
        </w:rPr>
        <w:t>Экологическое законодательство</w:t>
      </w:r>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lastRenderedPageBreak/>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Центральное место среди экологических норм </w:t>
      </w:r>
      <w:proofErr w:type="spellStart"/>
      <w:r w:rsidRPr="005C79F3">
        <w:rPr>
          <w:rFonts w:ascii="Times New Roman" w:hAnsi="Times New Roman" w:cs="Times New Roman"/>
          <w:sz w:val="28"/>
          <w:szCs w:val="28"/>
        </w:rPr>
        <w:t>Конститу-дии</w:t>
      </w:r>
      <w:proofErr w:type="spellEnd"/>
      <w:r w:rsidRPr="005C79F3">
        <w:rPr>
          <w:rFonts w:ascii="Times New Roman" w:hAnsi="Times New Roman" w:cs="Times New Roman"/>
          <w:sz w:val="28"/>
          <w:szCs w:val="28"/>
        </w:rPr>
        <w:t xml:space="preserve">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 xml:space="preserve">В Конституции РФ есть две очень важные нормы, одна из которых (ст. 42) закрепляет право каждого человека на благоприятную окружающую среду, </w:t>
      </w:r>
      <w:r w:rsidRPr="005C79F3">
        <w:rPr>
          <w:rFonts w:ascii="Times New Roman" w:hAnsi="Times New Roman" w:cs="Times New Roman"/>
          <w:sz w:val="28"/>
          <w:szCs w:val="28"/>
        </w:rPr>
        <w:lastRenderedPageBreak/>
        <w:t>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w:t>
      </w:r>
      <w:r w:rsidRPr="005C79F3">
        <w:rPr>
          <w:rFonts w:ascii="Times New Roman" w:hAnsi="Times New Roman" w:cs="Times New Roman"/>
          <w:sz w:val="28"/>
          <w:szCs w:val="28"/>
        </w:rPr>
        <w:lastRenderedPageBreak/>
        <w:t>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w:t>
      </w:r>
      <w:proofErr w:type="spellEnd"/>
      <w:r w:rsidRPr="005C79F3">
        <w:rPr>
          <w:rFonts w:ascii="Times New Roman" w:hAnsi="Times New Roman" w:cs="Times New Roman"/>
          <w:sz w:val="28"/>
          <w:szCs w:val="28"/>
        </w:rPr>
        <w:t>-ресурсного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roofErr w:type="gramStart"/>
      <w:r w:rsidRPr="005C79F3">
        <w:rPr>
          <w:rFonts w:ascii="Times New Roman" w:eastAsia="Times New Roman" w:hAnsi="Times New Roman" w:cs="Times New Roman"/>
          <w:sz w:val="28"/>
          <w:szCs w:val="28"/>
          <w:lang w:eastAsia="ru-RU"/>
        </w:rPr>
        <w:t xml:space="preserve"> В</w:t>
      </w:r>
      <w:proofErr w:type="gramEnd"/>
      <w:r w:rsidRPr="005C79F3">
        <w:rPr>
          <w:rFonts w:ascii="Times New Roman" w:eastAsia="Times New Roman" w:hAnsi="Times New Roman" w:cs="Times New Roman"/>
          <w:sz w:val="28"/>
          <w:szCs w:val="28"/>
          <w:lang w:eastAsia="ru-RU"/>
        </w:rPr>
        <w:t xml:space="preserve"> законах о местном самоуправлении, </w:t>
      </w:r>
      <w:r w:rsidRPr="005C79F3">
        <w:rPr>
          <w:rFonts w:ascii="Times New Roman" w:eastAsia="Times New Roman" w:hAnsi="Times New Roman" w:cs="Times New Roman"/>
          <w:sz w:val="28"/>
          <w:szCs w:val="28"/>
          <w:lang w:eastAsia="ru-RU"/>
        </w:rPr>
        <w:lastRenderedPageBreak/>
        <w:t>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5C79F3">
      <w:pPr>
        <w:pStyle w:val="a6"/>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bookmarkStart w:id="0" w:name="_GoBack"/>
      <w:bookmarkEnd w:id="0"/>
    </w:p>
    <w:p w:rsidR="00473BD0" w:rsidRPr="005C79F3" w:rsidRDefault="00473BD0">
      <w:pPr>
        <w:rPr>
          <w:rFonts w:ascii="Times New Roman" w:hAnsi="Times New Roman" w:cs="Times New Roman"/>
          <w:sz w:val="28"/>
          <w:szCs w:val="28"/>
        </w:rPr>
      </w:pPr>
    </w:p>
    <w:sectPr w:rsidR="00473BD0" w:rsidRPr="005C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F3"/>
    <w:rsid w:val="000F5FBC"/>
    <w:rsid w:val="00473BD0"/>
    <w:rsid w:val="005C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2021-02-16T05:52:00Z</dcterms:created>
  <dcterms:modified xsi:type="dcterms:W3CDTF">2021-02-16T05:52:00Z</dcterms:modified>
</cp:coreProperties>
</file>