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2" w:rsidRPr="00EE4772" w:rsidRDefault="00EE4772" w:rsidP="00EE4772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772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E4772">
        <w:rPr>
          <w:rFonts w:ascii="Times New Roman" w:hAnsi="Times New Roman" w:cs="Times New Roman"/>
          <w:b/>
          <w:spacing w:val="-2"/>
          <w:sz w:val="28"/>
          <w:szCs w:val="28"/>
        </w:rPr>
        <w:t>АДМИНИСТРАЦИЯ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772">
        <w:rPr>
          <w:rFonts w:ascii="Times New Roman" w:hAnsi="Times New Roman" w:cs="Times New Roman"/>
          <w:b/>
          <w:spacing w:val="-2"/>
          <w:sz w:val="28"/>
          <w:szCs w:val="28"/>
        </w:rPr>
        <w:t>НОВОНИКОЛЬСКОГО СЕЛЬСКОГО ПОСЕЛЕНИЯ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 xml:space="preserve">от        .2019г    №  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с. Новоникольское</w:t>
      </w:r>
    </w:p>
    <w:p w:rsidR="00EE4772" w:rsidRDefault="00EE4772" w:rsidP="00EE4772">
      <w:pPr>
        <w:spacing w:after="0"/>
        <w:jc w:val="center"/>
        <w:rPr>
          <w:b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EE4772">
        <w:rPr>
          <w:b/>
          <w:color w:val="212121"/>
          <w:sz w:val="28"/>
          <w:szCs w:val="28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 xml:space="preserve">В соответствии с Федеральным законом от 6 октября 2003 года  № 131-ФЗ «Об общих принципах организации местного самоуправления в Российской Федерации», ст. 80 Бюджетного кодекса Российской Федерации, Уставом Новоникольского сельского поселения, администрация Новоникольского сельского поселения, </w:t>
      </w:r>
      <w:proofErr w:type="spellStart"/>
      <w:proofErr w:type="gramStart"/>
      <w:r w:rsidRPr="00EE4772">
        <w:rPr>
          <w:color w:val="212121"/>
          <w:sz w:val="28"/>
          <w:szCs w:val="28"/>
        </w:rPr>
        <w:t>п</w:t>
      </w:r>
      <w:proofErr w:type="spellEnd"/>
      <w:proofErr w:type="gramEnd"/>
      <w:r w:rsidRPr="00EE4772">
        <w:rPr>
          <w:color w:val="212121"/>
          <w:sz w:val="28"/>
          <w:szCs w:val="28"/>
        </w:rPr>
        <w:t xml:space="preserve"> о с т а </w:t>
      </w:r>
      <w:proofErr w:type="spellStart"/>
      <w:r w:rsidRPr="00EE4772">
        <w:rPr>
          <w:color w:val="212121"/>
          <w:sz w:val="28"/>
          <w:szCs w:val="28"/>
        </w:rPr>
        <w:t>н</w:t>
      </w:r>
      <w:proofErr w:type="spellEnd"/>
      <w:r w:rsidRPr="00EE4772">
        <w:rPr>
          <w:color w:val="212121"/>
          <w:sz w:val="28"/>
          <w:szCs w:val="28"/>
        </w:rPr>
        <w:t xml:space="preserve"> о в л я е</w:t>
      </w:r>
      <w:r>
        <w:rPr>
          <w:color w:val="212121"/>
          <w:sz w:val="28"/>
          <w:szCs w:val="28"/>
        </w:rPr>
        <w:t xml:space="preserve"> </w:t>
      </w:r>
      <w:r w:rsidRPr="00EE4772">
        <w:rPr>
          <w:color w:val="212121"/>
          <w:sz w:val="28"/>
          <w:szCs w:val="28"/>
        </w:rPr>
        <w:t>т: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EE4772">
        <w:rPr>
          <w:color w:val="212121"/>
          <w:sz w:val="28"/>
          <w:szCs w:val="28"/>
        </w:rPr>
        <w:t xml:space="preserve">. Постановление вступает в силу со дня его </w:t>
      </w:r>
      <w:r>
        <w:rPr>
          <w:color w:val="212121"/>
          <w:sz w:val="28"/>
          <w:szCs w:val="28"/>
        </w:rPr>
        <w:t>официального опубликования</w:t>
      </w:r>
      <w:r w:rsidRPr="00EE4772">
        <w:rPr>
          <w:color w:val="212121"/>
          <w:sz w:val="28"/>
          <w:szCs w:val="28"/>
        </w:rPr>
        <w:t>.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 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Глава Новоникольского сельского поселения                      Л.В. Самылина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lastRenderedPageBreak/>
        <w:t>                                                                     ПРИЛОЖЕНИЕ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t>                                                    к постановлению администрации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t>Новоникольского сельского поселения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t xml:space="preserve">                                                                   от </w:t>
      </w:r>
      <w:r>
        <w:rPr>
          <w:color w:val="212121"/>
        </w:rPr>
        <w:t xml:space="preserve">.2020    </w:t>
      </w:r>
      <w:r w:rsidRPr="00EE4772">
        <w:rPr>
          <w:color w:val="212121"/>
        </w:rPr>
        <w:t xml:space="preserve"> №</w:t>
      </w:r>
      <w:r>
        <w:rPr>
          <w:color w:val="212121"/>
        </w:rPr>
        <w:t xml:space="preserve"> 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EE4772">
        <w:rPr>
          <w:b/>
          <w:color w:val="212121"/>
          <w:sz w:val="28"/>
          <w:szCs w:val="28"/>
        </w:rPr>
        <w:t>ТРЕБОВАНИЯ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EE4772">
        <w:rPr>
          <w:b/>
          <w:color w:val="212121"/>
          <w:sz w:val="28"/>
          <w:szCs w:val="28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1. </w:t>
      </w:r>
      <w:proofErr w:type="gramStart"/>
      <w:r w:rsidRPr="00EE4772">
        <w:rPr>
          <w:color w:val="212121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>
        <w:rPr>
          <w:color w:val="212121"/>
        </w:rPr>
        <w:t>Новоникольского сельского поселения</w:t>
      </w:r>
      <w:r w:rsidRPr="00EE4772">
        <w:rPr>
          <w:color w:val="212121"/>
        </w:rPr>
        <w:t xml:space="preserve">, предоставляющей бюджетные инвестиции, осуществляющей полномочия собственника,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в отношении акций (долей) в уставном (складочном) капитале юридического лица, получающей бюджетные инвестиции, и юридическим лицом</w:t>
      </w:r>
      <w:proofErr w:type="gramEnd"/>
      <w:r w:rsidRPr="00EE4772">
        <w:rPr>
          <w:color w:val="212121"/>
        </w:rPr>
        <w:t xml:space="preserve">, </w:t>
      </w:r>
      <w:proofErr w:type="gramStart"/>
      <w:r w:rsidRPr="00EE4772">
        <w:rPr>
          <w:color w:val="212121"/>
        </w:rPr>
        <w:t>получающим</w:t>
      </w:r>
      <w:proofErr w:type="gramEnd"/>
      <w:r w:rsidRPr="00EE4772">
        <w:rPr>
          <w:color w:val="212121"/>
        </w:rPr>
        <w:t xml:space="preserve"> бюджетные инвестиции (далее - договор о предоставлении бюджетных инвестиций).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color w:val="212121"/>
        </w:rPr>
        <w:t xml:space="preserve">депутатов Новоникольского сельского поселения </w:t>
      </w:r>
      <w:r w:rsidRPr="00EE4772">
        <w:rPr>
          <w:color w:val="212121"/>
        </w:rPr>
        <w:t xml:space="preserve">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как получателю средств местного бюджета.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3. Договором о предоставлении бюджетных инвестиций предусматриваются: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а) целевое назначение бюджетных инвестиций и их объем (с распределением по годам);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 xml:space="preserve"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</w:t>
      </w:r>
      <w:r w:rsidRPr="00EE4772">
        <w:rPr>
          <w:color w:val="212121"/>
        </w:rPr>
        <w:lastRenderedPageBreak/>
        <w:t>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 в случаях, установленных бюджетным законодательством Российской Федерации;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r w:rsidRPr="00EE4772">
        <w:rPr>
          <w:color w:val="212121"/>
        </w:rPr>
        <w:t>з</w:t>
      </w:r>
      <w:proofErr w:type="spellEnd"/>
      <w:r w:rsidRPr="00EE4772">
        <w:rPr>
          <w:color w:val="212121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EE4772">
        <w:rPr>
          <w:color w:val="212121"/>
        </w:rPr>
        <w:t>определяющем</w:t>
      </w:r>
      <w:proofErr w:type="gramEnd"/>
      <w:r w:rsidRPr="00EE4772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E4772">
        <w:rPr>
          <w:color w:val="212121"/>
        </w:rPr>
        <w:t>и) положения о запрете: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12121"/>
        </w:rPr>
        <w:t>-</w:t>
      </w:r>
      <w:r w:rsidRPr="00EE4772">
        <w:rPr>
          <w:color w:val="212121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-</w:t>
      </w:r>
      <w:r w:rsidRPr="00EE4772">
        <w:rPr>
          <w:color w:val="212121"/>
        </w:rPr>
        <w:t>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 xml:space="preserve">л) право исполнительно-распорядительного органа </w:t>
      </w:r>
      <w:r>
        <w:rPr>
          <w:color w:val="212121"/>
        </w:rPr>
        <w:t xml:space="preserve">Новоникольского сельского поселения, </w:t>
      </w:r>
      <w:r w:rsidRPr="00EE4772">
        <w:rPr>
          <w:color w:val="212121"/>
        </w:rPr>
        <w:t>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r w:rsidRPr="00EE4772">
        <w:rPr>
          <w:color w:val="212121"/>
        </w:rPr>
        <w:t>н</w:t>
      </w:r>
      <w:proofErr w:type="spellEnd"/>
      <w:r w:rsidRPr="00EE4772">
        <w:rPr>
          <w:color w:val="212121"/>
        </w:rPr>
        <w:t>) порядок возврата юридическим лицом, получающим бюджетные инвестиции, полученных сре</w:t>
      </w:r>
      <w:proofErr w:type="gramStart"/>
      <w:r w:rsidRPr="00EE4772">
        <w:rPr>
          <w:color w:val="212121"/>
        </w:rPr>
        <w:t>дств в сл</w:t>
      </w:r>
      <w:proofErr w:type="gramEnd"/>
      <w:r w:rsidRPr="00EE4772">
        <w:rPr>
          <w:color w:val="212121"/>
        </w:rPr>
        <w:t>учае установления факта несоблюдения им целей, условий и порядка предоставления бюджетных инвестиций.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lastRenderedPageBreak/>
        <w:t xml:space="preserve">4. </w:t>
      </w:r>
      <w:proofErr w:type="gramStart"/>
      <w:r w:rsidRPr="00EE4772">
        <w:rPr>
          <w:color w:val="212121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EE4772">
        <w:rPr>
          <w:color w:val="212121"/>
        </w:rPr>
        <w:t xml:space="preserve"> обеспечения (с распределением указанных объемов по годам);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EE4772">
        <w:rPr>
          <w:color w:val="212121"/>
        </w:rPr>
        <w:t xml:space="preserve"> </w:t>
      </w:r>
      <w:proofErr w:type="gramStart"/>
      <w:r w:rsidRPr="00EE4772">
        <w:rPr>
          <w:color w:val="212121"/>
        </w:rPr>
        <w:t xml:space="preserve">в установленных администрацией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 w:rsidRPr="00EE4772">
        <w:rPr>
          <w:color w:val="212121"/>
        </w:rPr>
        <w:t xml:space="preserve"> строительства);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proofErr w:type="gram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lastRenderedPageBreak/>
        <w:t xml:space="preserve">5. </w:t>
      </w:r>
      <w:proofErr w:type="gramStart"/>
      <w:r w:rsidRPr="00EE4772">
        <w:rPr>
          <w:color w:val="212121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НПА о порядке предоставления бюджетных инвестиций.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6. </w:t>
      </w:r>
      <w:proofErr w:type="gramStart"/>
      <w:r w:rsidRPr="00EE4772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а) наименования дочерних обществ;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(нормативным правовым </w:t>
      </w:r>
      <w:proofErr w:type="gramStart"/>
      <w:r w:rsidRPr="00EE4772">
        <w:rPr>
          <w:color w:val="212121"/>
        </w:rPr>
        <w:t xml:space="preserve">актом) </w:t>
      </w:r>
      <w:proofErr w:type="gramEnd"/>
      <w:r w:rsidRPr="00EE4772">
        <w:rPr>
          <w:color w:val="212121"/>
        </w:rPr>
        <w:t xml:space="preserve">администрации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не определены иные сроки или порядок определения указанных сроков;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Pr="00EE4772">
        <w:rPr>
          <w:color w:val="212121"/>
        </w:rPr>
        <w:t>ств пр</w:t>
      </w:r>
      <w:proofErr w:type="gramEnd"/>
      <w:r w:rsidRPr="00EE4772">
        <w:rPr>
          <w:color w:val="212121"/>
        </w:rPr>
        <w:t>оверок, предусмотренных подпунктом "л" пункта 3 настоящего документа;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6.1. </w:t>
      </w:r>
      <w:proofErr w:type="gramStart"/>
      <w:r w:rsidRPr="00EE4772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 </w:t>
      </w:r>
      <w:hyperlink r:id="rId4" w:history="1">
        <w:r w:rsidRPr="00EE4772">
          <w:rPr>
            <w:rStyle w:val="a6"/>
            <w:color w:val="0263B2"/>
          </w:rPr>
          <w:t>пункте 3</w:t>
        </w:r>
      </w:hyperlink>
      <w:r w:rsidRPr="00EE4772">
        <w:rPr>
          <w:color w:val="212121"/>
        </w:rPr>
        <w:t>, </w:t>
      </w:r>
      <w:hyperlink r:id="rId5" w:history="1">
        <w:r w:rsidRPr="00EE4772">
          <w:rPr>
            <w:rStyle w:val="a6"/>
            <w:color w:val="0263B2"/>
          </w:rPr>
          <w:t>подпунктах "а"</w:t>
        </w:r>
      </w:hyperlink>
      <w:r w:rsidRPr="00EE4772">
        <w:rPr>
          <w:color w:val="212121"/>
        </w:rPr>
        <w:t> - </w:t>
      </w:r>
      <w:hyperlink r:id="rId6" w:history="1">
        <w:r w:rsidRPr="00EE4772">
          <w:rPr>
            <w:rStyle w:val="a6"/>
            <w:color w:val="0263B2"/>
          </w:rPr>
          <w:t>"в" пункта 4</w:t>
        </w:r>
      </w:hyperlink>
      <w:r w:rsidRPr="00EE4772">
        <w:rPr>
          <w:color w:val="212121"/>
        </w:rPr>
        <w:t> и </w:t>
      </w:r>
      <w:hyperlink r:id="rId7" w:history="1">
        <w:r w:rsidRPr="00EE4772">
          <w:rPr>
            <w:rStyle w:val="a6"/>
            <w:color w:val="0263B2"/>
          </w:rPr>
          <w:t>пункте</w:t>
        </w:r>
        <w:proofErr w:type="gramEnd"/>
        <w:r w:rsidRPr="00EE4772">
          <w:rPr>
            <w:rStyle w:val="a6"/>
            <w:color w:val="0263B2"/>
          </w:rPr>
          <w:t xml:space="preserve"> 6</w:t>
        </w:r>
      </w:hyperlink>
      <w:r w:rsidRPr="00EE4772">
        <w:rPr>
          <w:color w:val="212121"/>
        </w:rPr>
        <w:t> 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о предоставлении бюджетных инвестиций.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lastRenderedPageBreak/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а) целевое назначение взноса (вклада) и его объем (с распределением по годам);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б) показатели результативности и их значения;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сроки перечисления взноса (вклада);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spellStart"/>
      <w:r w:rsidRPr="00EE4772">
        <w:rPr>
          <w:color w:val="212121"/>
        </w:rPr>
        <w:t>з</w:t>
      </w:r>
      <w:proofErr w:type="spellEnd"/>
      <w:r w:rsidRPr="00EE4772">
        <w:rPr>
          <w:color w:val="212121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EE4772">
        <w:rPr>
          <w:color w:val="212121"/>
        </w:rPr>
        <w:t>определяющем</w:t>
      </w:r>
      <w:proofErr w:type="gramEnd"/>
      <w:r w:rsidRPr="00EE4772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и) положения о запрете: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EE4772">
        <w:rPr>
          <w:color w:val="212121"/>
        </w:rPr>
        <w:t xml:space="preserve"> инвестиций и определенных администрацией </w:t>
      </w:r>
      <w:r>
        <w:rPr>
          <w:color w:val="212121"/>
        </w:rPr>
        <w:t>Новоникольского сельского поселения</w:t>
      </w:r>
      <w:proofErr w:type="gramStart"/>
      <w:r>
        <w:rPr>
          <w:color w:val="212121"/>
        </w:rPr>
        <w:t xml:space="preserve"> </w:t>
      </w:r>
      <w:r w:rsidRPr="00EE4772">
        <w:rPr>
          <w:color w:val="212121"/>
        </w:rPr>
        <w:t>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lastRenderedPageBreak/>
        <w:t xml:space="preserve">на осуществление операций, определенных нормативными правовыми актами администрации </w:t>
      </w:r>
      <w:r>
        <w:rPr>
          <w:color w:val="212121"/>
        </w:rPr>
        <w:t>Новоникольского сельского поселения</w:t>
      </w:r>
      <w:proofErr w:type="gramStart"/>
      <w:r>
        <w:rPr>
          <w:color w:val="212121"/>
        </w:rPr>
        <w:t xml:space="preserve"> </w:t>
      </w:r>
      <w:r w:rsidRPr="00EE4772">
        <w:rPr>
          <w:color w:val="212121"/>
        </w:rPr>
        <w:t>,</w:t>
      </w:r>
      <w:proofErr w:type="gramEnd"/>
      <w:r w:rsidRPr="00EE4772">
        <w:rPr>
          <w:color w:val="212121"/>
        </w:rPr>
        <w:t xml:space="preserve">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 xml:space="preserve">л) право юридического лица, получающего бюджетные инвестиции, и исполнительно-распорядительного органа </w:t>
      </w:r>
      <w:r>
        <w:rPr>
          <w:color w:val="212121"/>
        </w:rPr>
        <w:t>Новоникольского сельского поселения</w:t>
      </w:r>
      <w:proofErr w:type="gramStart"/>
      <w:r>
        <w:rPr>
          <w:color w:val="212121"/>
        </w:rPr>
        <w:t xml:space="preserve"> </w:t>
      </w:r>
      <w:r w:rsidRPr="00EE4772">
        <w:rPr>
          <w:color w:val="212121"/>
        </w:rPr>
        <w:t>,</w:t>
      </w:r>
      <w:proofErr w:type="gramEnd"/>
      <w:r w:rsidRPr="00EE4772">
        <w:rPr>
          <w:color w:val="212121"/>
        </w:rPr>
        <w:t xml:space="preserve">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EE4772">
        <w:rPr>
          <w:color w:val="212121"/>
        </w:rPr>
        <w:t>дств в сл</w:t>
      </w:r>
      <w:proofErr w:type="gramEnd"/>
      <w:r w:rsidRPr="00EE4772">
        <w:rPr>
          <w:color w:val="212121"/>
        </w:rPr>
        <w:t>учае установления факта несоблюдения им целей и условий, определенных указанным договором.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7</w:t>
      </w:r>
      <w:r>
        <w:rPr>
          <w:color w:val="212121"/>
        </w:rPr>
        <w:t>.1</w:t>
      </w:r>
      <w:r w:rsidRPr="00EE4772">
        <w:rPr>
          <w:color w:val="212121"/>
        </w:rPr>
        <w:t>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 </w:t>
      </w:r>
      <w:hyperlink r:id="rId8" w:history="1">
        <w:r w:rsidRPr="00EE4772">
          <w:rPr>
            <w:rStyle w:val="a6"/>
            <w:color w:val="0263B2"/>
          </w:rPr>
          <w:t>пункте 7</w:t>
        </w:r>
      </w:hyperlink>
      <w:r w:rsidRPr="00EE4772">
        <w:rPr>
          <w:color w:val="212121"/>
        </w:rPr>
        <w:t> настоящего документа, также предусматриваются: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</w:t>
      </w:r>
      <w:proofErr w:type="gramEnd"/>
      <w:r w:rsidRPr="00EE4772">
        <w:rPr>
          <w:color w:val="212121"/>
        </w:rPr>
        <w:t xml:space="preserve"> распределением указанных объемов по годам);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  <w:proofErr w:type="gramEnd"/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в) обязанность дочернего общества обеспечить выполнение работ, указанных в </w:t>
      </w:r>
      <w:hyperlink r:id="rId9" w:history="1">
        <w:r w:rsidRPr="00EE4772">
          <w:rPr>
            <w:rStyle w:val="a6"/>
            <w:color w:val="0263B2"/>
          </w:rPr>
          <w:t>подпункте "в" пункта 4</w:t>
        </w:r>
      </w:hyperlink>
      <w:r w:rsidRPr="00EE4772">
        <w:rPr>
          <w:color w:val="212121"/>
        </w:rPr>
        <w:t> 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 </w:t>
      </w:r>
      <w:hyperlink r:id="rId10" w:history="1">
        <w:r w:rsidRPr="00EE4772">
          <w:rPr>
            <w:rStyle w:val="a6"/>
            <w:color w:val="0263B2"/>
          </w:rPr>
          <w:t>подпункте "ж" пункта 7</w:t>
        </w:r>
      </w:hyperlink>
      <w:r w:rsidRPr="00EE4772">
        <w:rPr>
          <w:color w:val="212121"/>
        </w:rPr>
        <w:t> настоящего документа;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EE4772">
        <w:rPr>
          <w:color w:val="212121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 </w:t>
      </w:r>
      <w:hyperlink r:id="rId11" w:history="1">
        <w:r w:rsidRPr="00EE4772">
          <w:rPr>
            <w:rStyle w:val="a6"/>
            <w:color w:val="0263B2"/>
          </w:rPr>
          <w:t>подпункте "ж" пункта 7</w:t>
        </w:r>
      </w:hyperlink>
      <w:r w:rsidRPr="00EE4772">
        <w:rPr>
          <w:color w:val="212121"/>
        </w:rPr>
        <w:t xml:space="preserve"> 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EE4772">
        <w:rPr>
          <w:color w:val="212121"/>
        </w:rPr>
        <w:lastRenderedPageBreak/>
        <w:t>(в случае реализации инвестиционных</w:t>
      </w:r>
      <w:proofErr w:type="gramEnd"/>
      <w:r w:rsidRPr="00EE4772">
        <w:rPr>
          <w:color w:val="212121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Положения </w:t>
      </w:r>
      <w:hyperlink r:id="rId12" w:history="1">
        <w:r w:rsidRPr="00EE4772">
          <w:rPr>
            <w:rStyle w:val="a6"/>
            <w:color w:val="0263B2"/>
          </w:rPr>
          <w:t>подпункта "г" пункта 7(1)</w:t>
        </w:r>
      </w:hyperlink>
      <w:r w:rsidRPr="00EE4772">
        <w:rPr>
          <w:color w:val="212121"/>
        </w:rPr>
        <w:t xml:space="preserve"> требований, утвержденных настоящим постановлением, не применяются к отношениям, связанным с осуществлением закупок, </w:t>
      </w:r>
      <w:proofErr w:type="gramStart"/>
      <w:r w:rsidRPr="00EE4772">
        <w:rPr>
          <w:color w:val="212121"/>
        </w:rPr>
        <w:t>извещения</w:t>
      </w:r>
      <w:proofErr w:type="gramEnd"/>
      <w:r w:rsidRPr="00EE4772">
        <w:rPr>
          <w:color w:val="212121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г., а также к гражданско-правовым договорам, заключенным до 1 января 2018 г.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r>
        <w:rPr>
          <w:color w:val="212121"/>
        </w:rPr>
        <w:t>Новоникольского сельского поселения</w:t>
      </w:r>
      <w:r w:rsidRPr="00EE4772">
        <w:rPr>
          <w:color w:val="212121"/>
        </w:rPr>
        <w:t>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/>
        <w:jc w:val="both"/>
        <w:rPr>
          <w:color w:val="212121"/>
        </w:rPr>
      </w:pPr>
      <w:r w:rsidRPr="00EE4772">
        <w:rPr>
          <w:color w:val="2121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D12D8" w:rsidRDefault="008D12D8"/>
    <w:sectPr w:rsidR="008D12D8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72"/>
    <w:rsid w:val="003D6909"/>
    <w:rsid w:val="007D2F54"/>
    <w:rsid w:val="008D12D8"/>
    <w:rsid w:val="00E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2" Type="http://schemas.openxmlformats.org/officeDocument/2006/relationships/hyperlink" Target="consultantplus://offline/ref=303B94361EB55D5D3E62FF337B8247BB8B9E77F02B27C2E24C88CCD966A4B6CC46A8FE7FEC0A52B74F709584E46BCA49A6E6AABEtC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1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5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0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4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9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3216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2020-04-23T13:17:00Z</dcterms:created>
  <dcterms:modified xsi:type="dcterms:W3CDTF">2020-04-23T13:26:00Z</dcterms:modified>
</cp:coreProperties>
</file>